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Maths</w:t>
      </w:r>
    </w:p>
    <w:p>
      <w:pPr>
        <w:pStyle w:val="Subtitle"/>
      </w:pPr>
      <w:r>
        <w:t xml:space="preserve">Subject grammar profiles</w:t>
      </w:r>
    </w:p>
    <w:p>
      <w:r>
        <w:t xml:space="preserve">Maths language is compact. Small words carry precise meaning, and word problems pack a lot into long noun phrases.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Prepositions of position and quantity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Words like above, between, per and out of change the meaning of a problem completely.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out of ___ students chose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Labelled diagrams, Total physical response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Comparatives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Comparing quantities is at the heart of many problems: greater than, twice as many, fewer than.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is ___ times as ___ as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Substitution tables, Graded sentence frames and starters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Conditionals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Rules, patterns and proofs are often written as if sentences.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If ___, then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Colour-coded sentence parts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Dense noun phrases in word problems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Phrases such as the total cost of three tickets for the evening show hide the key quantity inside a long phrase.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of ___ is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Colour-coded sentence parts, Oral rehearsal before writing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Maths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