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Deconstructing a model paragraph</w:t>
      </w:r>
    </w:p>
    <w:p>
      <w:pPr>
        <w:pStyle w:val="Subtitle"/>
      </w:pPr>
      <w:r>
        <w:t xml:space="preserve">Grammar · Text level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12"/>
        <w:gridCol w:w="3696"/>
        <w:gridCol w:w="3024"/>
        <w:gridCol w:w="1512"/>
      </w:tblGrid>
      <w:tr>
        <w:trPr>
          <w:tblHeader/>
          <w:cantSplit/>
        </w:trPr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69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02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2 to 5</w:t>
            </w:r>
          </w:p>
        </w:tc>
        <w:tc>
          <w:tcPr>
            <w:tcW w:w="369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Upper elementary, Middle school and High school</w:t>
            </w:r>
          </w:p>
        </w:tc>
        <w:tc>
          <w:tcPr>
            <w:tcW w:w="30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class, Push-in support, Pull-out support and Small group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Medium prep</w:t>
            </w:r>
          </w:p>
        </w:tc>
      </w:tr>
    </w:tbl>
    <w:p>
      <w:pPr>
        <w:spacing w:after="0"/>
      </w:pPr>
    </w:p>
    <w:p>
      <w:r>
        <w:t xml:space="preserve">Take a model paragraph apart with the class, labelling what each sentence does, then write a new paragraph together with the same structure before students write alone.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Show a strong model paragraph in the genre students need to write.</w:t>
      </w:r>
    </w:p>
    <w:p>
      <w:pPr>
        <w:pStyle w:val="ListParagraph"/>
        <w:numPr>
          <w:ilvl w:val="0"/>
          <w:numId w:val="1"/>
        </w:numPr>
      </w:pPr>
      <w:r>
        <w:t xml:space="preserve">Label each sentence’s job, such as point, evidence, explanation and link.</w:t>
      </w:r>
    </w:p>
    <w:p>
      <w:pPr>
        <w:pStyle w:val="ListParagraph"/>
        <w:numPr>
          <w:ilvl w:val="0"/>
          <w:numId w:val="1"/>
        </w:numPr>
      </w:pPr>
      <w:r>
        <w:t xml:space="preserve">Highlight the language that does each job.</w:t>
      </w:r>
    </w:p>
    <w:p>
      <w:pPr>
        <w:pStyle w:val="ListParagraph"/>
        <w:numPr>
          <w:ilvl w:val="0"/>
          <w:numId w:val="1"/>
        </w:numPr>
      </w:pPr>
      <w:r>
        <w:t xml:space="preserve">Write a new paragraph together on a different topic, using the same structure.</w:t>
      </w:r>
    </w:p>
    <w:p>
      <w:pPr>
        <w:pStyle w:val="ListParagraph"/>
        <w:numPr>
          <w:ilvl w:val="0"/>
          <w:numId w:val="1"/>
        </w:numPr>
      </w:pPr>
      <w:r>
        <w:t xml:space="preserve">Students write their own, with the model and the shared paragraph available.</w:t>
      </w:r>
    </w:p>
    <w:p>
      <w:pPr>
        <w:pStyle w:val="Heading2"/>
      </w:pPr>
      <w:r>
        <w:t xml:space="preserve">In a lesson: English literature (high school)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The class labels a model analytical paragraph about Macbeth: the point that Shakespeare presents him as ambitious, the quotation, and the explanation of the verb “vaulting”. Together they write a paragraph about Lady Macbeth, then students write one about Banquo on their own.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The shared writing step is skipped.</w:t>
      </w:r>
    </w:p>
    <w:p>
      <w:pPr>
        <w:pStyle w:val="ListParagraph"/>
        <w:numPr>
          <w:ilvl w:val="0"/>
          <w:numId w:val="2"/>
        </w:numPr>
      </w:pPr>
      <w:r>
        <w:t xml:space="preserve">The model is too long or too polished.</w:t>
      </w:r>
    </w:p>
    <w:p>
      <w:pPr>
        <w:pStyle w:val="ListParagraph"/>
        <w:numPr>
          <w:ilvl w:val="0"/>
          <w:numId w:val="2"/>
        </w:numPr>
      </w:pPr>
      <w:r>
        <w:t xml:space="preserve">The structure is treated as a formula students can’t vary.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4873"/>
        <w:gridCol w:w="4873"/>
      </w:tblGrid>
      <w:tr>
        <w:trPr>
          <w:tblHeader/>
          <w:cantSplit/>
        </w:trPr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Provide a sentence starter for each part.</w:t>
            </w:r>
          </w:p>
        </w:tc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Compare a strong and a weak model, and explain the difference.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Deconstructing a model paragraph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