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Colour-coded sentence parts</w:t>
      </w:r>
    </w:p>
    <w:p>
      <w:pPr>
        <w:pStyle w:val="Subtitle"/>
      </w:pPr>
      <w:r>
        <w:t xml:space="preserve">Grammar · Sentence level</w:t>
      </w:r>
    </w:p>
    <w:tbl>
      <w:tblPr>
        <w:tblStyle w:val="TableGrid"/>
        <w:tblW w:w="9744"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12"/>
        <w:gridCol w:w="3696"/>
        <w:gridCol w:w="3024"/>
        <w:gridCol w:w="1512"/>
      </w:tblGrid>
      <w:tr>
        <w:trPr>
          <w:tblHeader/>
          <w:cantSplit/>
        </w:trPr>
        <w:tc>
          <w:tcPr>
            <w:tcW w:w="1512" w:type="dxa"/>
            <w:shd w:val="clear" w:color="auto" w:fill="E3ECEE"/>
            <w:vAlign w:val="center"/>
          </w:tcPr>
          <w:p>
            <w:pPr>
              <w:spacing w:before="20" w:after="20"/>
            </w:pPr>
            <w:r>
              <w:rPr>
                <w:b/>
                <w:sz w:val="20"/>
                <w:szCs w:val="20"/>
              </w:rPr>
              <w:t xml:space="preserve">Bands</w:t>
            </w:r>
          </w:p>
        </w:tc>
        <w:tc>
          <w:tcPr>
            <w:tcW w:w="3696" w:type="dxa"/>
            <w:shd w:val="clear" w:color="auto" w:fill="E3ECEE"/>
            <w:vAlign w:val="center"/>
          </w:tcPr>
          <w:p>
            <w:pPr>
              <w:spacing w:before="20" w:after="20"/>
            </w:pPr>
            <w:r>
              <w:rPr>
                <w:b/>
                <w:sz w:val="20"/>
                <w:szCs w:val="20"/>
              </w:rPr>
              <w:t xml:space="preserve">Stages</w:t>
            </w:r>
          </w:p>
        </w:tc>
        <w:tc>
          <w:tcPr>
            <w:tcW w:w="3024" w:type="dxa"/>
            <w:shd w:val="clear" w:color="auto" w:fill="E3ECEE"/>
            <w:vAlign w:val="center"/>
          </w:tcPr>
          <w:p>
            <w:pPr>
              <w:spacing w:before="20" w:after="20"/>
            </w:pPr>
            <w:r>
              <w:rPr>
                <w:b/>
                <w:sz w:val="20"/>
                <w:szCs w:val="20"/>
              </w:rPr>
              <w:t xml:space="preserve">Settings</w:t>
            </w:r>
          </w:p>
        </w:tc>
        <w:tc>
          <w:tcPr>
            <w:tcW w:w="1512" w:type="dxa"/>
            <w:shd w:val="clear" w:color="auto" w:fill="E3ECEE"/>
            <w:vAlign w:val="center"/>
          </w:tcPr>
          <w:p>
            <w:pPr>
              <w:spacing w:before="20" w:after="20"/>
            </w:pPr>
            <w:r>
              <w:rPr>
                <w:b/>
                <w:sz w:val="20"/>
                <w:szCs w:val="20"/>
              </w:rPr>
              <w:t xml:space="preserve">Prep</w:t>
            </w:r>
          </w:p>
        </w:tc>
      </w:tr>
      <w:tr>
        <w:trPr>
          <w:trHeight w:val="500"/>
          <w:cantSplit/>
        </w:trPr>
        <w:tc>
          <w:tcPr>
            <w:tcW w:w="1512" w:type="dxa"/>
            <w:vAlign w:val="center"/>
          </w:tcPr>
          <w:p>
            <w:pPr>
              <w:spacing w:before="20" w:after="20"/>
            </w:pPr>
            <w:r>
              <w:rPr>
                <w:sz w:val="20"/>
                <w:szCs w:val="20"/>
              </w:rPr>
              <w:t xml:space="preserve">1 to 3</w:t>
            </w:r>
          </w:p>
        </w:tc>
        <w:tc>
          <w:tcPr>
            <w:tcW w:w="3696" w:type="dxa"/>
            <w:vAlign w:val="center"/>
          </w:tcPr>
          <w:p>
            <w:pPr>
              <w:spacing w:before="20" w:after="20"/>
            </w:pPr>
            <w:r>
              <w:rPr>
                <w:sz w:val="20"/>
                <w:szCs w:val="20"/>
              </w:rPr>
              <w:t xml:space="preserve">Lower elementary, Upper elementary and Middle school</w:t>
            </w:r>
          </w:p>
        </w:tc>
        <w:tc>
          <w:tcPr>
            <w:tcW w:w="3024" w:type="dxa"/>
            <w:vAlign w:val="center"/>
          </w:tcPr>
          <w:p>
            <w:pPr>
              <w:spacing w:before="20" w:after="20"/>
            </w:pPr>
            <w:r>
              <w:rPr>
                <w:sz w:val="20"/>
                <w:szCs w:val="20"/>
              </w:rPr>
              <w:t xml:space="preserve">Mainstream class, Pull-out support and Small group</w:t>
            </w:r>
          </w:p>
        </w:tc>
        <w:tc>
          <w:tcPr>
            <w:tcW w:w="1512" w:type="dxa"/>
            <w:vAlign w:val="center"/>
          </w:tcPr>
          <w:p>
            <w:pPr>
              <w:spacing w:before="20" w:after="20"/>
            </w:pPr>
            <w:r>
              <w:rPr>
                <w:sz w:val="20"/>
                <w:szCs w:val="20"/>
              </w:rPr>
              <w:t xml:space="preserve">Low prep</w:t>
            </w:r>
          </w:p>
        </w:tc>
      </w:tr>
    </w:tbl>
    <w:p>
      <w:pPr>
        <w:spacing w:after="0"/>
      </w:pPr>
    </w:p>
    <w:p>
      <w:r>
        <w:t xml:space="preserve">Use the same colour for each sentence part every time, for example subject, verb, object and time phrase, so students can see how English sentences are built. It helps students whose home languages order words differently.</w:t>
      </w:r>
    </w:p>
    <w:p>
      <w:pPr>
        <w:pStyle w:val="Heading2"/>
      </w:pPr>
      <w:r>
        <w:t xml:space="preserve">How to do it</w:t>
      </w:r>
    </w:p>
    <w:p>
      <w:pPr>
        <w:pStyle w:val="ListParagraph"/>
        <w:numPr>
          <w:ilvl w:val="0"/>
          <w:numId w:val="1"/>
        </w:numPr>
      </w:pPr>
      <w:r>
        <w:t xml:space="preserve">Agree a small set of colours for sentence parts across the class or department.</w:t>
      </w:r>
    </w:p>
    <w:p>
      <w:pPr>
        <w:pStyle w:val="ListParagraph"/>
        <w:numPr>
          <w:ilvl w:val="0"/>
          <w:numId w:val="1"/>
        </w:numPr>
      </w:pPr>
      <w:r>
        <w:t xml:space="preserve">Colour-code example sentences on the board.</w:t>
      </w:r>
    </w:p>
    <w:p>
      <w:pPr>
        <w:pStyle w:val="ListParagraph"/>
        <w:numPr>
          <w:ilvl w:val="0"/>
          <w:numId w:val="1"/>
        </w:numPr>
      </w:pPr>
      <w:r>
        <w:t xml:space="preserve">Students colour-code sentences from their reading.</w:t>
      </w:r>
    </w:p>
    <w:p>
      <w:pPr>
        <w:pStyle w:val="ListParagraph"/>
        <w:numPr>
          <w:ilvl w:val="0"/>
          <w:numId w:val="1"/>
        </w:numPr>
      </w:pPr>
      <w:r>
        <w:t xml:space="preserve">Students build sentences from coloured cards.</w:t>
      </w:r>
    </w:p>
    <w:p>
      <w:pPr>
        <w:pStyle w:val="ListParagraph"/>
        <w:numPr>
          <w:ilvl w:val="0"/>
          <w:numId w:val="1"/>
        </w:numPr>
      </w:pPr>
      <w:r>
        <w:t xml:space="preserve">Use the colours in feedback, for example “Your blue part is missing.”</w:t>
      </w:r>
    </w:p>
    <w:p>
      <w:pPr>
        <w:pStyle w:val="Heading2"/>
      </w:pPr>
      <w:r>
        <w:t xml:space="preserve">In a lesson: Maths (lower elementary)</w:t>
      </w:r>
    </w:p>
    <w:p>
      <w:pPr>
        <w:pBdr>
          <w:left w:val="single" w:sz="18" w:space="8" w:color="B0503C"/>
        </w:pBdr>
        <w:shd w:val="clear" w:color="auto" w:fill="F6EDE7"/>
        <w:ind w:left="180" w:right="180"/>
      </w:pPr>
      <w:r>
        <w:t xml:space="preserve">The teacher writes “Sam / has / five apples” in blue, red and green. A new arrival whose home language puts the verb at the end of the sentence builds “Sam has three pencils” from coloured cards, then writes his own word problem with the parts in the right order.</w:t>
      </w:r>
    </w:p>
    <w:p>
      <w:pPr>
        <w:pStyle w:val="Heading2"/>
      </w:pPr>
      <w:r>
        <w:t xml:space="preserve">What commonly goes wrong</w:t>
      </w:r>
    </w:p>
    <w:p>
      <w:pPr>
        <w:pStyle w:val="ListParagraph"/>
        <w:numPr>
          <w:ilvl w:val="0"/>
          <w:numId w:val="2"/>
        </w:numPr>
      </w:pPr>
      <w:r>
        <w:t xml:space="preserve">Colours change between teachers or lessons.</w:t>
      </w:r>
    </w:p>
    <w:p>
      <w:pPr>
        <w:pStyle w:val="ListParagraph"/>
        <w:numPr>
          <w:ilvl w:val="0"/>
          <w:numId w:val="2"/>
        </w:numPr>
      </w:pPr>
      <w:r>
        <w:t xml:space="preserve">There are too many categories for beginners.</w:t>
      </w:r>
    </w:p>
    <w:p>
      <w:pPr>
        <w:pStyle w:val="ListParagraph"/>
        <w:numPr>
          <w:ilvl w:val="0"/>
          <w:numId w:val="2"/>
        </w:numPr>
      </w:pPr>
      <w:r>
        <w:t xml:space="preserve">Students colour-code but never write.</w:t>
      </w:r>
    </w:p>
    <w:p>
      <w:pPr>
        <w:pStyle w:val="Heading2"/>
      </w:pPr>
      <w:r>
        <w:t xml:space="preserve">Adapting it</w:t>
      </w:r>
    </w:p>
    <w:tbl>
      <w:tblPr>
        <w:tblStyle w:val="TableGrid"/>
        <w:tblW w:w="9746"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4873"/>
        <w:gridCol w:w="4873"/>
      </w:tblGrid>
      <w:tr>
        <w:trPr>
          <w:tblHeader/>
          <w:cantSplit/>
        </w:trPr>
        <w:tc>
          <w:tcPr>
            <w:tcW w:w="4873" w:type="dxa"/>
            <w:shd w:val="clear" w:color="auto" w:fill="E3ECEE"/>
            <w:vAlign w:val="center"/>
          </w:tcPr>
          <w:p>
            <w:pPr>
              <w:spacing w:before="20" w:after="20"/>
            </w:pPr>
            <w:r>
              <w:rPr>
                <w:b/>
                <w:sz w:val="20"/>
                <w:szCs w:val="20"/>
              </w:rPr>
              <w:t xml:space="preserve">For a lower band</w:t>
            </w:r>
          </w:p>
        </w:tc>
        <w:tc>
          <w:tcPr>
            <w:tcW w:w="4873" w:type="dxa"/>
            <w:shd w:val="clear" w:color="auto" w:fill="E3ECEE"/>
            <w:vAlign w:val="center"/>
          </w:tcPr>
          <w:p>
            <w:pPr>
              <w:spacing w:before="20" w:after="20"/>
            </w:pPr>
            <w:r>
              <w:rPr>
                <w:b/>
                <w:sz w:val="20"/>
                <w:szCs w:val="20"/>
              </w:rPr>
              <w:t xml:space="preserve">For a higher band</w:t>
            </w:r>
          </w:p>
        </w:tc>
      </w:tr>
      <w:tr>
        <w:trPr>
          <w:trHeight w:val="700"/>
          <w:cantSplit/>
        </w:trPr>
        <w:tc>
          <w:tcPr>
            <w:tcW w:w="4873" w:type="dxa"/>
            <w:vAlign w:val="center"/>
          </w:tcPr>
          <w:p>
            <w:pPr>
              <w:spacing w:before="20" w:after="20"/>
            </w:pPr>
            <w:r>
              <w:rPr>
                <w:sz w:val="20"/>
                <w:szCs w:val="20"/>
              </w:rPr>
              <w:t xml:space="preserve">Use two colours only: who or what, and what they do.</w:t>
            </w:r>
          </w:p>
        </w:tc>
        <w:tc>
          <w:tcPr>
            <w:tcW w:w="4873" w:type="dxa"/>
            <w:vAlign w:val="center"/>
          </w:tcPr>
          <w:p>
            <w:pPr>
              <w:spacing w:before="20" w:after="20"/>
            </w:pPr>
            <w:r>
              <w:rPr>
                <w:sz w:val="20"/>
                <w:szCs w:val="20"/>
              </w:rPr>
              <w:t xml:space="preserve">Add clauses, such as a blue main clause and a purple subordinate clause.</w:t>
            </w:r>
          </w:p>
        </w:tc>
      </w:tr>
    </w:tbl>
    <w:p>
      <w:pPr>
        <w:spacing w:after="0"/>
      </w:pPr>
    </w:p>
    <w:sectPr>
      <w:headerReference w:type="default" r:id="rIdHeader"/>
      <w:footerReference w:type="default" r:id="rIdFooter"/>
      <w:pgSz w:w="11906" w:h="16838"/>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9746"/>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GB"/>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Colour-coded sentence parts</dc:title>
  <dc:creator>Human Principals (humanprincipals.com)</dc:creator>
  <cp:lastModifiedBy>Human Principals (humanprincipals.com)</cp:lastModifiedBy>
  <dc:language>en-GB</dc:language>
  <dcterms:created xsi:type="dcterms:W3CDTF">2026-10-11T12:36:56Z</dcterms:created>
  <dcterms:modified xsi:type="dcterms:W3CDTF">2026-10-11T12:36:56Z</dcterms:modified>
</cp:coreProperties>
</file>