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Humanities and history</w:t>
      </w:r>
    </w:p>
    <w:p>
      <w:pPr>
        <w:pStyle w:val="Subtitle"/>
      </w:pPr>
      <w:r>
        <w:t xml:space="preserve">Subject grammar profiles</w:t>
      </w:r>
    </w:p>
    <w:p>
      <w:r>
        <w:t xml:space="preserve">History and humanities writing tells what happened, in what order, and how we know. These structures carry time, sources and argument.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Past tense range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Students need more than the simple past: continuous and perfect forms show what was already happening and what came first.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By ___, ___ had already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Noticing tasks with model texts, Dictogloss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Time connectives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Sequence and duration are central to historical explanation.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Before ___, ___. After ___,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Sentence combining, Substitution tables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Reporting verbs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Verbs such as argue, claim and suggest show how a source or historian positions a view, and how certain it is.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The historian ___ that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Semantic mapping and shades of meaning, Noticing tasks with model texts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Hedging language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Good historical writing matches the strength of a claim to the evidence, using words like may, likely and suggests.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This source suggests that ___, although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Deconstructing a model paragraph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Humanities and history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