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pPr>
      <w:r>
        <w:t xml:space="preserve">Cognate awareness</w:t>
      </w:r>
    </w:p>
    <w:p>
      <w:pPr>
        <w:pStyle w:val="Subtitle"/>
      </w:pPr>
      <w:r>
        <w:t xml:space="preserve">Vocabulary · Tier 3: subject words</w:t>
      </w:r>
    </w:p>
    <w:tbl>
      <w:tblPr>
        <w:tblStyle w:val="TableGrid"/>
        <w:tblW w:w="10079"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1564"/>
        <w:gridCol w:w="3823"/>
        <w:gridCol w:w="3128"/>
        <w:gridCol w:w="1564"/>
      </w:tblGrid>
      <w:tr>
        <w:trPr>
          <w:tblHeader/>
          <w:cantSplit/>
        </w:trPr>
        <w:tc>
          <w:tcPr>
            <w:tcW w:w="1564" w:type="dxa"/>
            <w:shd w:val="clear" w:color="auto" w:fill="E3ECEE"/>
            <w:vAlign w:val="center"/>
          </w:tcPr>
          <w:p>
            <w:pPr>
              <w:spacing w:before="20" w:after="20"/>
            </w:pPr>
            <w:r>
              <w:rPr>
                <w:b/>
                <w:sz w:val="20"/>
                <w:szCs w:val="20"/>
              </w:rPr>
              <w:t xml:space="preserve">Bands</w:t>
            </w:r>
          </w:p>
        </w:tc>
        <w:tc>
          <w:tcPr>
            <w:tcW w:w="3823" w:type="dxa"/>
            <w:shd w:val="clear" w:color="auto" w:fill="E3ECEE"/>
            <w:vAlign w:val="center"/>
          </w:tcPr>
          <w:p>
            <w:pPr>
              <w:spacing w:before="20" w:after="20"/>
            </w:pPr>
            <w:r>
              <w:rPr>
                <w:b/>
                <w:sz w:val="20"/>
                <w:szCs w:val="20"/>
              </w:rPr>
              <w:t xml:space="preserve">Stages</w:t>
            </w:r>
          </w:p>
        </w:tc>
        <w:tc>
          <w:tcPr>
            <w:tcW w:w="3128" w:type="dxa"/>
            <w:shd w:val="clear" w:color="auto" w:fill="E3ECEE"/>
            <w:vAlign w:val="center"/>
          </w:tcPr>
          <w:p>
            <w:pPr>
              <w:spacing w:before="20" w:after="20"/>
            </w:pPr>
            <w:r>
              <w:rPr>
                <w:b/>
                <w:sz w:val="20"/>
                <w:szCs w:val="20"/>
              </w:rPr>
              <w:t xml:space="preserve">Settings</w:t>
            </w:r>
          </w:p>
        </w:tc>
        <w:tc>
          <w:tcPr>
            <w:tcW w:w="1564" w:type="dxa"/>
            <w:shd w:val="clear" w:color="auto" w:fill="E3ECEE"/>
            <w:vAlign w:val="center"/>
          </w:tcPr>
          <w:p>
            <w:pPr>
              <w:spacing w:before="20" w:after="20"/>
            </w:pPr>
            <w:r>
              <w:rPr>
                <w:b/>
                <w:sz w:val="20"/>
                <w:szCs w:val="20"/>
              </w:rPr>
              <w:t xml:space="preserve">Prep</w:t>
            </w:r>
          </w:p>
        </w:tc>
      </w:tr>
      <w:tr>
        <w:trPr>
          <w:trHeight w:val="500"/>
          <w:cantSplit/>
        </w:trPr>
        <w:tc>
          <w:tcPr>
            <w:tcW w:w="1564" w:type="dxa"/>
            <w:vAlign w:val="center"/>
          </w:tcPr>
          <w:p>
            <w:pPr>
              <w:spacing w:before="20" w:after="20"/>
            </w:pPr>
            <w:r>
              <w:rPr>
                <w:sz w:val="20"/>
                <w:szCs w:val="20"/>
              </w:rPr>
              <w:t xml:space="preserve">2 to 5</w:t>
            </w:r>
          </w:p>
        </w:tc>
        <w:tc>
          <w:tcPr>
            <w:tcW w:w="3823" w:type="dxa"/>
            <w:vAlign w:val="center"/>
          </w:tcPr>
          <w:p>
            <w:pPr>
              <w:spacing w:before="20" w:after="20"/>
            </w:pPr>
            <w:r>
              <w:rPr>
                <w:sz w:val="20"/>
                <w:szCs w:val="20"/>
              </w:rPr>
              <w:t xml:space="preserve">Upper elementary, Middle school and High school</w:t>
            </w:r>
          </w:p>
        </w:tc>
        <w:tc>
          <w:tcPr>
            <w:tcW w:w="3128" w:type="dxa"/>
            <w:vAlign w:val="center"/>
          </w:tcPr>
          <w:p>
            <w:pPr>
              <w:spacing w:before="20" w:after="20"/>
            </w:pPr>
            <w:r>
              <w:rPr>
                <w:sz w:val="20"/>
                <w:szCs w:val="20"/>
              </w:rPr>
              <w:t xml:space="preserve">Mainstream class and Small group</w:t>
            </w:r>
          </w:p>
        </w:tc>
        <w:tc>
          <w:tcPr>
            <w:tcW w:w="1564" w:type="dxa"/>
            <w:vAlign w:val="center"/>
          </w:tcPr>
          <w:p>
            <w:pPr>
              <w:spacing w:before="20" w:after="20"/>
            </w:pPr>
            <w:r>
              <w:rPr>
                <w:sz w:val="20"/>
                <w:szCs w:val="20"/>
              </w:rPr>
              <w:t xml:space="preserve">Low prep</w:t>
            </w:r>
          </w:p>
        </w:tc>
      </w:tr>
    </w:tbl>
    <w:p>
      <w:pPr>
        <w:spacing w:after="0"/>
      </w:pPr>
    </w:p>
    <w:p>
      <w:r>
        <w:t xml:space="preserve">Show students where English subject words look and sound like words in their home language, and warn them about false friends. Some languages share many academic words with English, which students can use as a shortcut.</w:t>
      </w:r>
    </w:p>
    <w:p>
      <w:pPr>
        <w:pStyle w:val="Heading2"/>
      </w:pPr>
      <w:r>
        <w:t xml:space="preserve">How to do it</w:t>
      </w:r>
    </w:p>
    <w:p>
      <w:pPr>
        <w:pStyle w:val="ListParagraph"/>
        <w:numPr>
          <w:ilvl w:val="0"/>
          <w:numId w:val="1"/>
        </w:numPr>
      </w:pPr>
      <w:r>
        <w:t xml:space="preserve">Find out which home languages are in the class, and whether they share vocabulary with English.</w:t>
      </w:r>
    </w:p>
    <w:p>
      <w:pPr>
        <w:pStyle w:val="ListParagraph"/>
        <w:numPr>
          <w:ilvl w:val="0"/>
          <w:numId w:val="1"/>
        </w:numPr>
      </w:pPr>
      <w:r>
        <w:t xml:space="preserve">When you introduce a subject term, ask, “Does this look like a word you know?”</w:t>
      </w:r>
    </w:p>
    <w:p>
      <w:pPr>
        <w:pStyle w:val="ListParagraph"/>
        <w:numPr>
          <w:ilvl w:val="0"/>
          <w:numId w:val="1"/>
        </w:numPr>
      </w:pPr>
      <w:r>
        <w:t xml:space="preserve">Build a class list of shared words and false friends for the unit.</w:t>
      </w:r>
    </w:p>
    <w:p>
      <w:pPr>
        <w:pStyle w:val="ListParagraph"/>
        <w:numPr>
          <w:ilvl w:val="0"/>
          <w:numId w:val="1"/>
        </w:numPr>
      </w:pPr>
      <w:r>
        <w:t xml:space="preserve">Teach the English pronunciation, which is often different.</w:t>
      </w:r>
    </w:p>
    <w:p>
      <w:pPr>
        <w:pStyle w:val="ListParagraph"/>
        <w:numPr>
          <w:ilvl w:val="0"/>
          <w:numId w:val="1"/>
        </w:numPr>
      </w:pPr>
      <w:r>
        <w:t xml:space="preserve">Check meanings, because similar words sometimes mean different things.</w:t>
      </w:r>
    </w:p>
    <w:p>
      <w:pPr>
        <w:pStyle w:val="Heading2"/>
      </w:pPr>
      <w:r>
        <w:t xml:space="preserve">In a lesson: Science (high school)</w:t>
      </w:r>
    </w:p>
    <w:p>
      <w:pPr>
        <w:pBdr>
          <w:left w:val="single" w:sz="18" w:space="8" w:color="B0503C"/>
        </w:pBdr>
        <w:shd w:val="clear" w:color="auto" w:fill="F6EDE7"/>
        <w:ind w:left="180" w:right="180"/>
      </w:pPr>
      <w:r>
        <w:t xml:space="preserve">Introducing photosynthesis, the teacher asks whether anyone knows a similar word. A Ukrainian-speaking student recognizes фотосинтез, and a Malay-speaking student recognizes fotosintesis. The class notes the shared parts, photo meaning light and synthesis meaning making, and uses them to remember what the word means.</w:t>
      </w:r>
    </w:p>
    <w:p>
      <w:pPr>
        <w:pStyle w:val="Heading2"/>
      </w:pPr>
      <w:r>
        <w:t xml:space="preserve">What commonly goes wrong</w:t>
      </w:r>
    </w:p>
    <w:p>
      <w:pPr>
        <w:pStyle w:val="ListParagraph"/>
        <w:numPr>
          <w:ilvl w:val="0"/>
          <w:numId w:val="2"/>
        </w:numPr>
      </w:pPr>
      <w:r>
        <w:t xml:space="preserve">Staff assume every language shares vocabulary with English, when many share very little.</w:t>
      </w:r>
    </w:p>
    <w:p>
      <w:pPr>
        <w:pStyle w:val="ListParagraph"/>
        <w:numPr>
          <w:ilvl w:val="0"/>
          <w:numId w:val="2"/>
        </w:numPr>
      </w:pPr>
      <w:r>
        <w:t xml:space="preserve">False friends are missed.</w:t>
      </w:r>
    </w:p>
    <w:p>
      <w:pPr>
        <w:pStyle w:val="ListParagraph"/>
        <w:numPr>
          <w:ilvl w:val="0"/>
          <w:numId w:val="2"/>
        </w:numPr>
      </w:pPr>
      <w:r>
        <w:t xml:space="preserve">Pronunciation differences are ignored.</w:t>
      </w:r>
    </w:p>
    <w:p>
      <w:pPr>
        <w:pStyle w:val="Heading2"/>
      </w:pPr>
      <w:r>
        <w:t xml:space="preserve">Adapting it</w:t>
      </w:r>
    </w:p>
    <w:tbl>
      <w:tblPr>
        <w:tblStyle w:val="TableGrid"/>
        <w:tblW w:w="10080"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5040"/>
        <w:gridCol w:w="5040"/>
      </w:tblGrid>
      <w:tr>
        <w:trPr>
          <w:tblHeader/>
          <w:cantSplit/>
        </w:trPr>
        <w:tc>
          <w:tcPr>
            <w:tcW w:w="5040" w:type="dxa"/>
            <w:shd w:val="clear" w:color="auto" w:fill="E3ECEE"/>
            <w:vAlign w:val="center"/>
          </w:tcPr>
          <w:p>
            <w:pPr>
              <w:spacing w:before="20" w:after="20"/>
            </w:pPr>
            <w:r>
              <w:rPr>
                <w:b/>
                <w:sz w:val="20"/>
                <w:szCs w:val="20"/>
              </w:rPr>
              <w:t xml:space="preserve">For a lower band</w:t>
            </w:r>
          </w:p>
        </w:tc>
        <w:tc>
          <w:tcPr>
            <w:tcW w:w="5040" w:type="dxa"/>
            <w:shd w:val="clear" w:color="auto" w:fill="E3ECEE"/>
            <w:vAlign w:val="center"/>
          </w:tcPr>
          <w:p>
            <w:pPr>
              <w:spacing w:before="20" w:after="20"/>
            </w:pPr>
            <w:r>
              <w:rPr>
                <w:b/>
                <w:sz w:val="20"/>
                <w:szCs w:val="20"/>
              </w:rPr>
              <w:t xml:space="preserve">For a higher band</w:t>
            </w:r>
          </w:p>
        </w:tc>
      </w:tr>
      <w:tr>
        <w:trPr>
          <w:trHeight w:val="700"/>
          <w:cantSplit/>
        </w:trPr>
        <w:tc>
          <w:tcPr>
            <w:tcW w:w="5040" w:type="dxa"/>
            <w:vAlign w:val="center"/>
          </w:tcPr>
          <w:p>
            <w:pPr>
              <w:spacing w:before="20" w:after="20"/>
            </w:pPr>
            <w:r>
              <w:rPr>
                <w:sz w:val="20"/>
                <w:szCs w:val="20"/>
              </w:rPr>
              <w:t xml:space="preserve">Point out shared words as they come up in the lesson.</w:t>
            </w:r>
          </w:p>
        </w:tc>
        <w:tc>
          <w:tcPr>
            <w:tcW w:w="5040" w:type="dxa"/>
            <w:vAlign w:val="center"/>
          </w:tcPr>
          <w:p>
            <w:pPr>
              <w:spacing w:before="20" w:after="20"/>
            </w:pPr>
            <w:r>
              <w:rPr>
                <w:sz w:val="20"/>
                <w:szCs w:val="20"/>
              </w:rPr>
              <w:t xml:space="preserve">Ask students to explore the Latin and Greek roots behind the shared words.</w:t>
            </w:r>
          </w:p>
        </w:tc>
      </w:tr>
    </w:tbl>
    <w:p>
      <w:pPr>
        <w:spacing w:after="0"/>
      </w:pPr>
    </w:p>
    <w:sectPr>
      <w:headerReference w:type="default" r:id="rIdHeader"/>
      <w:footerReference w:type="default" r:id="rIdFooter"/>
      <w:pgSz w:w="12240" w:h="15840"/>
      <w:pgMar w:top="1380" w:right="1080" w:bottom="1080" w:left="1080" w:header="500" w:footer="480" w:gutter="0"/>
    </w:sectPr>
  </w:body>
</w:document>
</file>

<file path=word/footer1.xml><?xml version="1.0" encoding="utf-8"?>
<w:ftr xmlns:w="http://schemas.openxmlformats.org/wordprocessingml/2006/main" xmlns:r="http://schemas.openxmlformats.org/officeDocument/2006/relationships">
  <w:p>
    <w:pPr>
      <w:pStyle w:val="Footer"/>
      <w:tabs>
        <w:tab w:val="right" w:pos="10080"/>
      </w:tabs>
    </w:pPr>
    <w:r>
      <w:t xml:space="preserve">Downloaded from </w:t>
    </w:r>
    <w:hyperlink r:id="rIdLink">
      <w:r>
        <w:rPr>
          <w:b/>
          <w:color w:val="1F4A56"/>
          <w:u w:val="single"/>
        </w:rPr>
        <w:t xml:space="preserve">humanprincipals.com</w:t>
      </w:r>
    </w:hyperlink>
    <w:r>
      <w:t xml:space="preserve">. Free to use and adapt for your class and school.</w:t>
    </w:r>
    <w:r>
      <w:tab/>
    </w:r>
    <w:r>
      <w:fldChar w:fldCharType="begin"/>
    </w:r>
    <w:r>
      <w:instrText xml:space="preserve"> PAGE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Header"/>
    </w:pPr>
    <w:r>
      <w:drawing>
        <wp:inline distT="0" distB="0" distL="0" distR="0">
          <wp:extent cx="1789938" cy="265176"/>
          <wp:docPr id="1" name="Logo" descr="Human Principals logo. Replace it with your school’s logo."/>
          <wp:cNvGraphicFramePr>
            <a:graphicFrameLocks noChangeAspect="1"/>
          </wp:cNvGraphicFramePr>
          <a:graphic>
            <a:graphicData uri="http://schemas.openxmlformats.org/drawingml/2006/picture">
              <pic:pic>
                <pic:nvPicPr>
                  <pic:cNvPr id="1" name="logo.png"/>
                  <pic:cNvPicPr/>
                </pic:nvPicPr>
                <pic:blipFill>
                  <a:blip r:embed="rIdLogo"/>
                  <a:stretch>
                    <a:fillRect/>
                  </a:stretch>
                </pic:blipFill>
                <pic:spPr>
                  <a:xfrm>
                    <a:off x="0" y="0"/>
                    <a:ext cx="1789938" cy="265176"/>
                  </a:xfrm>
                  <a:prstGeom prst="rect">
                    <a:avLst/>
                  </a:prstGeom>
                </pic:spPr>
              </pic:pic>
            </a:graphicData>
          </a:graphic>
        </wp:inline>
      </w:drawing>
    </w:r>
  </w:p>
</w:hdr>
</file>

<file path=word/numbering.xml><?xml version="1.0" encoding="utf-8"?>
<w:numbering xmlns:w="http://schemas.openxmlformats.org/wordprocessingml/2006/main" xmlns:r="http://schemas.openxmlformats.org/officeDocument/2006/relationships">
  <w:abstractNum w:abstractNumId="0">
    <w:multiLevelType w:val="hybridMultilevel"/>
    <w:lvl w:ilvl="0">
      <w:start w:val="1"/>
      <w:numFmt w:val="bullet"/>
      <w:lvlText w:val="•"/>
      <w:lvlJc w:val="left"/>
      <w:pPr>
        <w:ind w:left="360" w:hanging="360"/>
      </w:pPr>
    </w:lvl>
  </w:abstractNum>
  <w:abstractNum w:abstractNumId="1">
    <w:multiLevelType w:val="hybridMultilevel"/>
    <w:lvl w:ilvl="0">
      <w:start w:val="1"/>
      <w:numFmt w:val="decimal"/>
      <w:lvlText w:val="%1."/>
      <w:lvlJc w:val="left"/>
      <w:pPr>
        <w:ind w:left="360" w:hanging="360"/>
      </w:pPr>
    </w:lvl>
  </w:abstractNum>
  <w:num w:numId="1">
    <w:abstractNumId w:val="1"/>
    <w:lvlOverride w:ilvl="0">
      <w:startOverride w:val="1"/>
    </w:lvlOverride>
  </w:num>
  <w:num w:numId="2">
    <w:abstractNumId w:val="0"/>
    <w:lvlOverride w:ilvl="0">
      <w:startOverride w:val="1"/>
    </w:lvlOverride>
  </w:num>
</w:numbering>
</file>

<file path=word/settings.xml><?xml version="1.0" encoding="utf-8"?>
<w:settings xmlns:w="http://schemas.openxmlformats.org/wordprocessingml/2006/main" xmlns:r="http://schemas.openxmlformats.org/officeDocument/2006/relationships">
  <w:defaultTabStop w:val="720"/>
  <w:compat>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w:docDefaults>
    <w:rPrDefault>
      <w:rPr>
        <w:rFonts w:ascii="Calibri" w:hAnsi="Calibri" w:eastAsia="Calibri" w:cs="Calibri"/>
        <w:sz w:val="22"/>
        <w:szCs w:val="22"/>
        <w:lang w:val="en-US"/>
      </w:rPr>
    </w:rPrDefault>
    <w:pPrDefault>
      <w:pPr>
        <w:spacing w:after="120" w:line="264" w:lineRule="auto"/>
      </w:pPr>
    </w:pPrDefault>
  </w:docDefaults>
  <w:style w:type="paragraph" w:default="1" w:styleId="Normal">
    <w:name w:val="Normal"/>
    <w:qFormat/>
  </w:style>
  <w:style w:type="paragraph" w:styleId="Title">
    <w:name w:val="Title"/>
    <w:basedOn w:val="Normal"/>
    <w:next w:val="Normal"/>
    <w:qFormat/>
    <w:pPr>
      <w:spacing w:after="60"/>
    </w:pPr>
    <w:rPr>
      <w:b/>
      <w:color w:val="1F4A56"/>
      <w:sz w:val="40"/>
      <w:szCs w:val="40"/>
    </w:rPr>
  </w:style>
  <w:style w:type="paragraph" w:styleId="Subtitle">
    <w:name w:val="Subtitle"/>
    <w:basedOn w:val="Normal"/>
    <w:next w:val="Normal"/>
    <w:qFormat/>
    <w:pPr>
      <w:spacing w:after="240"/>
    </w:pPr>
    <w:rPr>
      <w:color w:val="595959"/>
      <w:sz w:val="22"/>
    </w:rPr>
  </w:style>
  <w:style w:type="paragraph" w:styleId="Heading1">
    <w:name w:val="heading 1"/>
    <w:basedOn w:val="Normal"/>
    <w:next w:val="Normal"/>
    <w:qFormat/>
    <w:pPr>
      <w:keepNext/>
      <w:spacing w:before="280" w:after="100"/>
      <w:outlineLvl w:val="0"/>
    </w:pPr>
    <w:rPr>
      <w:b/>
      <w:color w:val="1F4A56"/>
      <w:sz w:val="30"/>
      <w:szCs w:val="30"/>
    </w:rPr>
  </w:style>
  <w:style w:type="paragraph" w:styleId="Heading2">
    <w:name w:val="heading 2"/>
    <w:basedOn w:val="Normal"/>
    <w:next w:val="Normal"/>
    <w:qFormat/>
    <w:pPr>
      <w:keepNext/>
      <w:spacing w:before="220" w:after="80"/>
      <w:outlineLvl w:val="1"/>
    </w:pPr>
    <w:rPr>
      <w:b/>
      <w:color w:val="262626"/>
      <w:sz w:val="24"/>
      <w:szCs w:val="24"/>
    </w:rPr>
  </w:style>
  <w:style w:type="paragraph" w:styleId="ListParagraph">
    <w:name w:val="List Paragraph"/>
    <w:basedOn w:val="Normal"/>
    <w:next w:val="Normal"/>
    <w:qFormat/>
    <w:pPr>
      <w:spacing w:after="60"/>
      <w:ind w:left="360"/>
    </w:pPr>
    <w:rPr/>
  </w:style>
  <w:style w:type="paragraph" w:styleId="Header">
    <w:name w:val="header"/>
    <w:basedOn w:val="Normal"/>
    <w:next w:val="Normal"/>
    <w:qFormat/>
    <w:pPr>
      <w:spacing w:after="0"/>
    </w:pPr>
    <w:rPr/>
  </w:style>
  <w:style w:type="paragraph" w:styleId="Footer">
    <w:name w:val="footer"/>
    <w:basedOn w:val="Normal"/>
    <w:next w:val="Normal"/>
    <w:qFormat/>
    <w:pPr>
      <w:spacing w:after="0"/>
    </w:pPr>
    <w:rPr>
      <w:color w:val="7F7F7F"/>
      <w:sz w:val="16"/>
    </w:rPr>
  </w:style>
  <w:style w:type="table" w:default="1" w:styleId="TableNormal">
    <w:name w:val="Normal Table"/>
    <w:tblPr>
      <w:tblCellMar>
        <w:left w:w="108" w:type="dxa"/>
        <w:right w:w="108" w:type="dxa"/>
      </w:tblCellMar>
    </w:tblPr>
  </w:style>
  <w:style w:type="table" w:styleId="TableGrid">
    <w:name w:val="Table Grid"/>
    <w:basedOn w:val="TableNormal"/>
    <w:tblPr>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Numbering" Type="http://schemas.openxmlformats.org/officeDocument/2006/relationships/numbering" Target="numbering.xml"/><Relationship Id="rIdSettings" Type="http://schemas.openxmlformats.org/officeDocument/2006/relationships/settings" Target="settings.xml"/><Relationship Id="rIdFooter" Type="http://schemas.openxmlformats.org/officeDocument/2006/relationships/footer" Target="footer1.xml"/><Relationship Id="rIdHeader" Type="http://schemas.openxmlformats.org/officeDocument/2006/relationships/header" Target="header1.xml"/></Relationships>
</file>

<file path=word/_rels/footer1.xml.rels><?xml version="1.0" encoding="UTF-8" standalone="yes"?><Relationships xmlns="http://schemas.openxmlformats.org/package/2006/relationships"><Relationship Id="rIdLink" Type="http://schemas.openxmlformats.org/officeDocument/2006/relationships/hyperlink" Target="https://humanprincipals.com/" TargetMode="External"/></Relationships>
</file>

<file path=word/_rels/header1.xml.rels><?xml version="1.0" encoding="UTF-8" standalone="yes"?><Relationships xmlns="http://schemas.openxmlformats.org/package/2006/relationships"><Relationship Id="rIdLogo" Type="http://schemas.openxmlformats.org/officeDocument/2006/relationships/image" Target="media/logo.png"/></Relationships>
</file>

<file path=docProps/app.xml><?xml version="1.0" encoding="utf-8"?>
<Properties xmlns="http://schemas.openxmlformats.org/officeDocument/2006/extended-properties">
  <Application>Microsoft Office Word</Application>
</Properties>
</file>

<file path=docProps/core.xml><?xml version="1.0" encoding="utf-8"?>
<cp:coreProperties xmlns:cp="http://schemas.openxmlformats.org/package/2006/metadata/core-properties" xmlns:dc="http://purl.org/dc/elements/1.1/" xmlns:dcterms="http://purl.org/dc/terms/" xmlns:xsi="http://www.w3.org/2001/XMLSchema-instance">
  <dc:title>Cognate awareness</dc:title>
  <dc:creator>Human Principals (humanprincipals.com)</dc:creator>
  <cp:lastModifiedBy>Human Principals (humanprincipals.com)</cp:lastModifiedBy>
  <dc:language>en-US</dc:language>
  <dcterms:created xsi:type="dcterms:W3CDTF">2026-10-11T12:36:57Z</dcterms:created>
  <dcterms:modified xsi:type="dcterms:W3CDTF">2026-10-11T12:36:57Z</dcterms:modified>
</cp:coreProperties>
</file>