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Movement breaks</w:t>
      </w:r>
    </w:p>
    <w:p>
      <w:pPr>
        <w:pStyle w:val="Subtitle"/>
      </w:pPr>
      <w:r>
        <w:t xml:space="preserve">Tier 1 (Universal) intervention plan</w:t>
      </w:r>
    </w:p>
    <w:p>
      <w:pPr>
        <w:pStyle w:val="Heading1"/>
      </w:pPr>
      <w:r>
        <w:t xml:space="preserve">Student information</w:t>
      </w:r>
    </w:p>
    <w:tbl>
      <w:tblPr>
        <w:tblStyle w:val="TableGrid"/>
        <w:tblW w:w="10080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814"/>
        <w:gridCol w:w="3226"/>
        <w:gridCol w:w="1814"/>
        <w:gridCol w:w="3226"/>
      </w:tblGrid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Student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Grade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Teacher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School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60"/>
          <w:cantSplit/>
        </w:trPr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Start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  <w:tc>
          <w:tcPr>
            <w:tcW w:w="181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Review date</w:t>
            </w:r>
          </w:p>
        </w:tc>
        <w:tc>
          <w:tcPr>
            <w:tcW w:w="3226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Target behavior</w:t>
      </w:r>
    </w:p>
    <w:p>
      <w:r>
        <w:rPr>
          <w:i/>
          <w:color w:val="595959"/>
        </w:rPr>
        <w:t xml:space="preserve">Describe the behavior so that any adult would recognize it (what it looks like, where, and how often).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Goal</w:t>
      </w:r>
    </w:p>
    <w:p>
      <w:r>
        <w:rPr>
          <w:i/>
          <w:color w:val="595959"/>
        </w:rPr>
        <w:t xml:space="preserve">Example: “By [date], [student] will [replacement behavior] in [setting] on [4 out of 5] days, as measured by [data sheet].”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About this strategy</w:t>
      </w:r>
    </w:p>
    <w:p>
      <w:r>
        <w:t xml:space="preserve">Build short, structured movement into lessons so students don’t have to find their own.</w:t>
      </w:r>
    </w:p>
    <w:p>
      <w:pPr>
        <w:pStyle w:val="Heading2"/>
      </w:pPr>
      <w:r>
        <w:t xml:space="preserve">Why it works</w:t>
      </w:r>
    </w:p>
    <w:p>
      <w:pPr>
        <w:pStyle w:val="ListParagraph"/>
        <w:numPr>
          <w:ilvl w:val="0"/>
          <w:numId w:val="1"/>
        </w:numPr>
      </w:pPr>
      <w:r>
        <w:t xml:space="preserve">Movement improves attention and mood</w:t>
      </w:r>
    </w:p>
    <w:p>
      <w:pPr>
        <w:pStyle w:val="ListParagraph"/>
        <w:numPr>
          <w:ilvl w:val="0"/>
          <w:numId w:val="1"/>
        </w:numPr>
      </w:pPr>
      <w:r>
        <w:t xml:space="preserve">Gives active students an appropriate outlet</w:t>
      </w:r>
    </w:p>
    <w:p>
      <w:pPr>
        <w:pStyle w:val="ListParagraph"/>
        <w:numPr>
          <w:ilvl w:val="0"/>
          <w:numId w:val="1"/>
        </w:numPr>
      </w:pPr>
      <w:r>
        <w:t xml:space="preserve">Short breaks reset focus for the whole class</w:t>
      </w:r>
    </w:p>
    <w:p>
      <w:pPr>
        <w:pStyle w:val="Heading1"/>
      </w:pPr>
      <w:r>
        <w:t xml:space="preserve">Implementation steps</w:t>
      </w:r>
    </w:p>
    <w:p>
      <w:r>
        <w:rPr>
          <w:i/>
          <w:color w:val="595959"/>
        </w:rPr>
        <w:t xml:space="preserve">Edit these steps to fit your classroom. Cross out anything that doesn’t apply.</w:t>
      </w:r>
    </w:p>
    <w:p>
      <w:pPr>
        <w:pStyle w:val="ListParagraph"/>
        <w:numPr>
          <w:ilvl w:val="0"/>
          <w:numId w:val="2"/>
        </w:numPr>
      </w:pPr>
      <w:r>
        <w:t xml:space="preserve">Plan a 1–3 minute movement activity: stretching, a quick game, standing to share with a partner.</w:t>
      </w:r>
    </w:p>
    <w:p>
      <w:pPr>
        <w:pStyle w:val="ListParagraph"/>
        <w:numPr>
          <w:ilvl w:val="0"/>
          <w:numId w:val="2"/>
        </w:numPr>
      </w:pPr>
      <w:r>
        <w:t xml:space="preserve">Use it between tasks or when attention starts to fade.</w:t>
      </w:r>
    </w:p>
    <w:p>
      <w:pPr>
        <w:pStyle w:val="ListParagraph"/>
        <w:numPr>
          <w:ilvl w:val="0"/>
          <w:numId w:val="2"/>
        </w:numPr>
      </w:pPr>
      <w:r>
        <w:t xml:space="preserve">For individual students, give movement jobs: passing out papers, delivering a note, wiping boards.</w:t>
      </w:r>
    </w:p>
    <w:p>
      <w:pPr>
        <w:pStyle w:val="ListParagraph"/>
        <w:numPr>
          <w:ilvl w:val="0"/>
          <w:numId w:val="2"/>
        </w:numPr>
      </w:pPr>
      <w:r>
        <w:t xml:space="preserve">Offer standing options or a spot at the back where a student can stand and work.</w:t>
      </w:r>
    </w:p>
    <w:p>
      <w:pPr>
        <w:pStyle w:val="ListParagraph"/>
        <w:numPr>
          <w:ilvl w:val="0"/>
          <w:numId w:val="2"/>
        </w:numPr>
      </w:pPr>
      <w:r>
        <w:t xml:space="preserve">Use a clear signal to end the break and return to work.</w:t>
      </w:r>
    </w:p>
    <w:p>
      <w:pPr>
        <w:pStyle w:val="Heading2"/>
      </w:pPr>
      <w:r>
        <w:t xml:space="preserve">Tips</w:t>
      </w:r>
    </w:p>
    <w:p>
      <w:pPr>
        <w:pStyle w:val="ListParagraph"/>
        <w:numPr>
          <w:ilvl w:val="0"/>
          <w:numId w:val="3"/>
        </w:numPr>
      </w:pPr>
      <w:r>
        <w:t xml:space="preserve">Teach the routine for the break so it doesn’t become a new disruption.</w:t>
      </w:r>
    </w:p>
    <w:p>
      <w:pPr>
        <w:pStyle w:val="ListParagraph"/>
        <w:numPr>
          <w:ilvl w:val="0"/>
          <w:numId w:val="3"/>
        </w:numPr>
      </w:pPr>
      <w:r>
        <w:t xml:space="preserve">Don’t take away recess or breaks as a consequence for active students. It usually makes things worse.</w:t>
      </w:r>
    </w:p>
    <w:p>
      <w:pPr>
        <w:pStyle w:val="Heading1"/>
      </w:pPr>
      <w:r>
        <w:t xml:space="preserve">Who is involved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2085"/>
        <w:gridCol w:w="2780"/>
        <w:gridCol w:w="5213"/>
      </w:tblGrid>
      <w:tr>
        <w:trPr>
          <w:tblHeader/>
          <w:cantSplit/>
        </w:trPr>
        <w:tc>
          <w:tcPr>
            <w:tcW w:w="2085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Role</w:t>
            </w:r>
          </w:p>
        </w:tc>
        <w:tc>
          <w:tcPr>
            <w:tcW w:w="2780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Name</w:t>
            </w:r>
          </w:p>
        </w:tc>
        <w:tc>
          <w:tcPr>
            <w:tcW w:w="521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Responsibility</w:t>
            </w: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Lead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Support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560"/>
          <w:cantSplit/>
        </w:trPr>
        <w:tc>
          <w:tcPr>
            <w:tcW w:w="2085" w:type="dxa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Family contact</w:t>
            </w:r>
          </w:p>
        </w:tc>
        <w:tc>
          <w:tcPr>
            <w:tcW w:w="2780" w:type="dxa"/>
            <w:vAlign w:val="center"/>
          </w:tcPr>
          <w:p>
            <w:pPr>
              <w:spacing w:before="20" w:after="20"/>
            </w:pPr>
          </w:p>
        </w:tc>
        <w:tc>
          <w:tcPr>
            <w:tcW w:w="521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Progress log</w:t>
      </w:r>
    </w:p>
    <w:tbl>
      <w:tblPr>
        <w:tblStyle w:val="TableGrid"/>
        <w:tblW w:w="10078" w:type="dxa"/>
        <w:tblBorders>
          <w:top w:val="single" w:sz="4" w:space="0" w:color="9AA5B1"/>
          <w:left w:val="single" w:sz="4" w:space="0" w:color="9AA5B1"/>
          <w:bottom w:val="single" w:sz="4" w:space="0" w:color="9AA5B1"/>
          <w:right w:val="single" w:sz="4" w:space="0" w:color="9AA5B1"/>
          <w:insideH w:val="single" w:sz="4" w:space="0" w:color="9AA5B1"/>
          <w:insideV w:val="single" w:sz="4" w:space="0" w:color="9AA5B1"/>
        </w:tblBorders>
        <w:tblLayout w:type="fixed"/>
        <w:tblCellMar>
          <w:left w:w="100" w:type="dxa"/>
          <w:right w:w="100" w:type="dxa"/>
        </w:tblCellMar>
      </w:tblPr>
      <w:tblGrid>
        <w:gridCol w:w="1527"/>
        <w:gridCol w:w="3054"/>
        <w:gridCol w:w="3054"/>
        <w:gridCol w:w="2443"/>
      </w:tblGrid>
      <w:tr>
        <w:trPr>
          <w:tblHeader/>
          <w:cantSplit/>
        </w:trPr>
        <w:tc>
          <w:tcPr>
            <w:tcW w:w="1527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Date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What we did</w:t>
            </w:r>
          </w:p>
        </w:tc>
        <w:tc>
          <w:tcPr>
            <w:tcW w:w="3054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Data / what we noticed</w:t>
            </w:r>
          </w:p>
        </w:tc>
        <w:tc>
          <w:tcPr>
            <w:tcW w:w="2443" w:type="dxa"/>
            <w:shd w:val="clear" w:color="auto" w:fill="E3ECEE"/>
            <w:vAlign w:val="center"/>
          </w:tcPr>
          <w:p>
            <w:pPr>
              <w:spacing w:before="20" w:after="20"/>
            </w:pPr>
            <w:r>
              <w:rPr>
                <w:b/>
                <w:sz w:val="20"/>
                <w:szCs w:val="20"/>
              </w:rPr>
              <w:t xml:space="preserve">Next step</w:t>
            </w: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800"/>
          <w:cantSplit/>
        </w:trPr>
        <w:tc>
          <w:tcPr>
            <w:tcW w:w="1527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3054" w:type="dxa"/>
            <w:vAlign w:val="center"/>
          </w:tcPr>
          <w:p>
            <w:pPr>
              <w:spacing w:before="20" w:after="20"/>
            </w:pPr>
          </w:p>
        </w:tc>
        <w:tc>
          <w:tcPr>
            <w:tcW w:w="2443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p>
      <w:pPr>
        <w:pStyle w:val="Heading1"/>
      </w:pPr>
      <w:r>
        <w:t xml:space="preserve">Review decision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Continue as written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Adjust the plan (describe below)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Fade the support: goal met</w:t>
      </w:r>
    </w:p>
    <w:p>
      <w:pPr>
        <w:spacing w:after="80"/>
      </w:pPr>
      <w:r>
        <w:rPr>
          <w:rFonts w:ascii="Segoe UI Symbol" w:hAnsi="Segoe UI Symbol"/>
        </w:rPr>
        <w:t xml:space="preserve">☐  </w:t>
      </w:r>
      <w:r>
        <w:t xml:space="preserve">Move to more intensive support</w:t>
      </w:r>
    </w:p>
    <w:p>
      <w:pPr>
        <w:pStyle w:val="Heading2"/>
      </w:pPr>
      <w:r>
        <w:t xml:space="preserve">Notes</w:t>
      </w:r>
    </w:p>
    <w:tbl>
      <w:tblPr>
        <w:tblStyle w:val="TableGrid"/>
        <w:tblW w:w="10080" w:type="dxa"/>
        <w:tblBorders>
          <w:top w:val="nil"/>
          <w:left w:val="nil"/>
          <w:bottom w:val="single" w:sz="4" w:space="0" w:color="A0A0A0"/>
          <w:right w:val="nil"/>
          <w:insideH w:val="single" w:sz="4" w:space="0" w:color="A0A0A0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10080"/>
      </w:tblGrid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  <w:tr>
        <w:trPr>
          <w:trHeight w:val="440"/>
          <w:cantSplit/>
        </w:trPr>
        <w:tc>
          <w:tcPr>
            <w:tcW w:w="10080" w:type="dxa"/>
            <w:vAlign w:val="center"/>
          </w:tcPr>
          <w:p>
            <w:pPr>
              <w:spacing w:before="20" w:after="20"/>
            </w:pPr>
          </w:p>
        </w:tc>
      </w:tr>
    </w:tbl>
    <w:p>
      <w:pPr>
        <w:spacing w:after="0"/>
      </w:pPr>
    </w:p>
    <w:sectPr>
      <w:headerReference w:type="default" r:id="rIdHeader"/>
      <w:footerReference w:type="default" r:id="rIdFooter"/>
      <w:pgSz w:w="12240" w:h="15840"/>
      <w:pgMar w:top="1380" w:right="1080" w:bottom="1080" w:left="1080" w:header="50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tabs>
        <w:tab w:val="right" w:pos="10080"/>
      </w:tabs>
    </w:pPr>
    <w:r>
      <w:t xml:space="preserve">Downloaded from </w:t>
    </w:r>
    <w:hyperlink r:id="rIdLink">
      <w:r>
        <w:rPr>
          <w:b/>
          <w:color w:val="1F4A56"/>
          <w:u w:val="single"/>
        </w:rPr>
        <w:t xml:space="preserve">humanprincipals.com</w:t>
      </w:r>
    </w:hyperlink>
    <w:r>
      <w:t xml:space="preserve">. Free to use and adapt for your class and school.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  <w:r>
      <w:drawing>
        <wp:inline distT="0" distB="0" distL="0" distR="0">
          <wp:extent cx="1789938" cy="265176"/>
          <wp:docPr id="1" name="Logo" descr="Human Principals logo. Replace it with your school’s logo.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89938" cy="2651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4A56"/>
      <w:sz w:val="40"/>
      <w:szCs w:val="40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95959"/>
      <w:sz w:val="22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outlineLvl w:val="0"/>
    </w:pPr>
    <w:rPr>
      <w:b/>
      <w:color w:val="1F4A5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20" w:after="80"/>
      <w:outlineLvl w:val="1"/>
    </w:pPr>
    <w:rPr>
      <w:b/>
      <w:color w:val="262626"/>
      <w:sz w:val="24"/>
      <w:szCs w:val="24"/>
    </w:rPr>
  </w:style>
  <w:style w:type="paragraph" w:styleId="ListParagraph">
    <w:name w:val="List Paragraph"/>
    <w:basedOn w:val="Normal"/>
    <w:next w:val="Normal"/>
    <w:qFormat/>
    <w:pPr>
      <w:spacing w:after="60"/>
      <w:ind w:left="360"/>
    </w:pPr>
    <w:rPr/>
  </w:style>
  <w:style w:type="paragraph" w:styleId="Header">
    <w:name w:val="header"/>
    <w:basedOn w:val="Normal"/>
    <w:next w:val="Normal"/>
    <w:qFormat/>
    <w:pPr>
      <w:spacing w:after="0"/>
    </w:pPr>
    <w:rPr/>
  </w:style>
  <w:style w:type="paragraph" w:styleId="Footer">
    <w:name w:val="footer"/>
    <w:basedOn w:val="Normal"/>
    <w:next w:val="Normal"/>
    <w:qFormat/>
    <w:pPr>
      <w:spacing w:after="0"/>
    </w:pPr>
    <w:rPr>
      <w:color w:val="7F7F7F"/>
      <w:sz w:val="16"/>
    </w:rPr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AA5B1"/>
        <w:left w:val="single" w:sz="4" w:space="0" w:color="9AA5B1"/>
        <w:bottom w:val="single" w:sz="4" w:space="0" w:color="9AA5B1"/>
        <w:right w:val="single" w:sz="4" w:space="0" w:color="9AA5B1"/>
        <w:insideH w:val="single" w:sz="4" w:space="0" w:color="9AA5B1"/>
        <w:insideV w:val="single" w:sz="4" w:space="0" w:color="9AA5B1"/>
      </w:tblBorders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Footer" Type="http://schemas.openxmlformats.org/officeDocument/2006/relationships/footer" Target="footer1.xml"/><Relationship Id="rIdHeader" Type="http://schemas.openxmlformats.org/officeDocument/2006/relationships/header" Target="header1.xm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humanprincipals.com/" TargetMode="Externa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Movement breaks</dc:title>
  <dc:creator>Human Principals (humanprincipals.com)</dc:creator>
  <cp:lastModifiedBy>Human Principals (humanprincipals.com)</cp:lastModifiedBy>
  <dc:language>en-US</dc:language>
  <dcterms:created xsi:type="dcterms:W3CDTF">2026-10-11T12:36:57Z</dcterms:created>
  <dcterms:modified xsi:type="dcterms:W3CDTF">2026-10-11T12:36:57Z</dcterms:modified>
</cp:coreProperties>
</file>