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Coping and emotion-regulation skills</w:t>
      </w:r>
    </w:p>
    <w:p>
      <w:pPr>
        <w:pStyle w:val="Subtitle"/>
      </w:pPr>
      <w:r>
        <w:t xml:space="preserve">Tier 2 (Targeted) intervention plan</w:t>
      </w:r>
    </w:p>
    <w:p>
      <w:pPr>
        <w:pStyle w:val="Heading1"/>
      </w:pPr>
      <w:r>
        <w:t xml:space="preserve">Student information</w:t>
      </w:r>
    </w:p>
    <w:tbl>
      <w:tblPr>
        <w:tblStyle w:val="TableGrid"/>
        <w:tblW w:w="10080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814"/>
        <w:gridCol w:w="3226"/>
        <w:gridCol w:w="1814"/>
        <w:gridCol w:w="3226"/>
      </w:tblGrid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Student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Grade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Teacher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School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Start date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Review date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Target behavior</w:t>
      </w:r>
    </w:p>
    <w:p>
      <w:r>
        <w:rPr>
          <w:i/>
          <w:color w:val="595959"/>
        </w:rPr>
        <w:t xml:space="preserve">Describe the behavior so that any adult would recognize it (what it looks like, where, and how often).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Goal</w:t>
      </w:r>
    </w:p>
    <w:p>
      <w:r>
        <w:rPr>
          <w:i/>
          <w:color w:val="595959"/>
        </w:rPr>
        <w:t xml:space="preserve">Example: “By [date], [student] will [replacement behavior] in [setting] on [4 out of 5] days, as measured by [data sheet].”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About this strategy</w:t>
      </w:r>
    </w:p>
    <w:p>
      <w:r>
        <w:t xml:space="preserve">Explicitly teach the student to notice feelings and use a calming strategy before they escalate.</w:t>
      </w:r>
    </w:p>
    <w:p>
      <w:pPr>
        <w:pStyle w:val="Heading2"/>
      </w:pPr>
      <w:r>
        <w:t xml:space="preserve">Why it works</w:t>
      </w:r>
    </w:p>
    <w:p>
      <w:pPr>
        <w:pStyle w:val="ListParagraph"/>
        <w:numPr>
          <w:ilvl w:val="0"/>
          <w:numId w:val="1"/>
        </w:numPr>
      </w:pPr>
      <w:r>
        <w:t xml:space="preserve">Students can’t use skills they haven’t been taught</w:t>
      </w:r>
    </w:p>
    <w:p>
      <w:pPr>
        <w:pStyle w:val="ListParagraph"/>
        <w:numPr>
          <w:ilvl w:val="0"/>
          <w:numId w:val="1"/>
        </w:numPr>
      </w:pPr>
      <w:r>
        <w:t xml:space="preserve">Gives the student control over their own reactions</w:t>
      </w:r>
    </w:p>
    <w:p>
      <w:pPr>
        <w:pStyle w:val="ListParagraph"/>
        <w:numPr>
          <w:ilvl w:val="0"/>
          <w:numId w:val="1"/>
        </w:numPr>
      </w:pPr>
      <w:r>
        <w:t xml:space="preserve">Reduces frequency and intensity of outbursts</w:t>
      </w:r>
    </w:p>
    <w:p>
      <w:pPr>
        <w:pStyle w:val="Heading1"/>
      </w:pPr>
      <w:r>
        <w:t xml:space="preserve">Implementation steps</w:t>
      </w:r>
    </w:p>
    <w:p>
      <w:r>
        <w:rPr>
          <w:i/>
          <w:color w:val="595959"/>
        </w:rPr>
        <w:t xml:space="preserve">Edit these steps to fit your classroom. Cross out anything that doesn’t apply.</w:t>
      </w:r>
    </w:p>
    <w:p>
      <w:pPr>
        <w:pStyle w:val="ListParagraph"/>
        <w:numPr>
          <w:ilvl w:val="0"/>
          <w:numId w:val="2"/>
        </w:numPr>
      </w:pPr>
      <w:r>
        <w:t xml:space="preserve">Teach feelings vocabulary and body signals (“My face gets hot when I’m angry”).</w:t>
      </w:r>
    </w:p>
    <w:p>
      <w:pPr>
        <w:pStyle w:val="ListParagraph"/>
        <w:numPr>
          <w:ilvl w:val="0"/>
          <w:numId w:val="2"/>
        </w:numPr>
      </w:pPr>
      <w:r>
        <w:t xml:space="preserve">Teach 3–4 calming strategies: deep breathing, counting, squeezing a stress ball, positive self-talk.</w:t>
      </w:r>
    </w:p>
    <w:p>
      <w:pPr>
        <w:pStyle w:val="ListParagraph"/>
        <w:numPr>
          <w:ilvl w:val="0"/>
          <w:numId w:val="2"/>
        </w:numPr>
      </w:pPr>
      <w:r>
        <w:t xml:space="preserve">Practice the strategies when the student is calm, many times.</w:t>
      </w:r>
    </w:p>
    <w:p>
      <w:pPr>
        <w:pStyle w:val="ListParagraph"/>
        <w:numPr>
          <w:ilvl w:val="0"/>
          <w:numId w:val="2"/>
        </w:numPr>
      </w:pPr>
      <w:r>
        <w:t xml:space="preserve">Build a personal calm-down plan with the student.</w:t>
      </w:r>
    </w:p>
    <w:p>
      <w:pPr>
        <w:pStyle w:val="ListParagraph"/>
        <w:numPr>
          <w:ilvl w:val="0"/>
          <w:numId w:val="2"/>
        </w:numPr>
      </w:pPr>
      <w:r>
        <w:t xml:space="preserve">Prompt the strategy early when you notice warning signs, and praise any use of it.</w:t>
      </w:r>
    </w:p>
    <w:p>
      <w:pPr>
        <w:pStyle w:val="ListParagraph"/>
        <w:numPr>
          <w:ilvl w:val="0"/>
          <w:numId w:val="2"/>
        </w:numPr>
      </w:pPr>
      <w:r>
        <w:t xml:space="preserve">Review what worked after difficult moments, once the student is calm.</w:t>
      </w:r>
    </w:p>
    <w:p>
      <w:pPr>
        <w:pStyle w:val="Heading2"/>
      </w:pPr>
      <w:r>
        <w:t xml:space="preserve">Tips</w:t>
      </w:r>
    </w:p>
    <w:p>
      <w:pPr>
        <w:pStyle w:val="ListParagraph"/>
        <w:numPr>
          <w:ilvl w:val="0"/>
          <w:numId w:val="3"/>
        </w:numPr>
      </w:pPr>
      <w:r>
        <w:t xml:space="preserve">Practice calm-down skills when calm, not in the middle of a meltdown.</w:t>
      </w:r>
    </w:p>
    <w:p>
      <w:pPr>
        <w:pStyle w:val="ListParagraph"/>
        <w:numPr>
          <w:ilvl w:val="0"/>
          <w:numId w:val="3"/>
        </w:numPr>
      </w:pPr>
      <w:r>
        <w:t xml:space="preserve">Model the strategies yourself: “I’m frustrated, so I’m going to take three deep breaths.”</w:t>
      </w:r>
    </w:p>
    <w:p>
      <w:pPr>
        <w:pBdr>
          <w:left w:val="single" w:sz="18" w:space="8" w:color="B0503C"/>
        </w:pBdr>
        <w:shd w:val="clear" w:color="auto" w:fill="F6EDE7"/>
        <w:ind w:left="180" w:right="180"/>
      </w:pPr>
      <w:r>
        <w:rPr>
          <w:b/>
        </w:rPr>
        <w:t xml:space="preserve">Templates for this strategy:</w:t>
      </w:r>
      <w:r>
        <w:t xml:space="preserve"> My calm-down plan, ABC observation log</w:t>
      </w:r>
    </w:p>
    <w:p>
      <w:pPr>
        <w:pStyle w:val="Heading1"/>
      </w:pPr>
      <w:r>
        <w:t xml:space="preserve">Who is involved</w:t>
      </w:r>
    </w:p>
    <w:tbl>
      <w:tblPr>
        <w:tblStyle w:val="TableGrid"/>
        <w:tblW w:w="10078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2085"/>
        <w:gridCol w:w="2780"/>
        <w:gridCol w:w="5213"/>
      </w:tblGrid>
      <w:tr>
        <w:trPr>
          <w:tblHeader/>
          <w:cantSplit/>
        </w:trPr>
        <w:tc>
          <w:tcPr>
            <w:tcW w:w="2085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Role</w:t>
            </w:r>
          </w:p>
        </w:tc>
        <w:tc>
          <w:tcPr>
            <w:tcW w:w="278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Name</w:t>
            </w:r>
          </w:p>
        </w:tc>
        <w:tc>
          <w:tcPr>
            <w:tcW w:w="521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Responsibility</w:t>
            </w:r>
          </w:p>
        </w:tc>
      </w:tr>
      <w:tr>
        <w:trPr>
          <w:trHeight w:val="560"/>
          <w:cantSplit/>
        </w:trPr>
        <w:tc>
          <w:tcPr>
            <w:tcW w:w="2085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Lead</w:t>
            </w:r>
          </w:p>
        </w:tc>
        <w:tc>
          <w:tcPr>
            <w:tcW w:w="27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521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85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Support</w:t>
            </w:r>
          </w:p>
        </w:tc>
        <w:tc>
          <w:tcPr>
            <w:tcW w:w="27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521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85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Family contact</w:t>
            </w:r>
          </w:p>
        </w:tc>
        <w:tc>
          <w:tcPr>
            <w:tcW w:w="27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5213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Progress log</w:t>
      </w:r>
    </w:p>
    <w:tbl>
      <w:tblPr>
        <w:tblStyle w:val="TableGrid"/>
        <w:tblW w:w="10078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527"/>
        <w:gridCol w:w="3054"/>
        <w:gridCol w:w="3054"/>
        <w:gridCol w:w="2443"/>
      </w:tblGrid>
      <w:tr>
        <w:trPr>
          <w:tblHeader/>
          <w:cantSplit/>
        </w:trPr>
        <w:tc>
          <w:tcPr>
            <w:tcW w:w="1527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30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What we did</w:t>
            </w:r>
          </w:p>
        </w:tc>
        <w:tc>
          <w:tcPr>
            <w:tcW w:w="30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Data / what we noticed</w:t>
            </w:r>
          </w:p>
        </w:tc>
        <w:tc>
          <w:tcPr>
            <w:tcW w:w="244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Next step</w:t>
            </w: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Review decision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Continue as written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Adjust the plan (describe below)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Fade the support: goal met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Move to more intensive support</w:t>
      </w:r>
    </w:p>
    <w:p>
      <w:pPr>
        <w:pStyle w:val="Heading2"/>
      </w:pPr>
      <w:r>
        <w:t xml:space="preserve">Notes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2240" w:h="15840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10080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Coping and emotion-regulation skills</dc:title>
  <dc:creator>Human Principals (humanprincipals.com)</dc:creator>
  <cp:lastModifiedBy>Human Principals (humanprincipals.com)</cp:lastModifiedBy>
  <dc:language>en-US</dc:language>
  <dcterms:created xsi:type="dcterms:W3CDTF">2026-10-11T12:36:57Z</dcterms:created>
  <dcterms:modified xsi:type="dcterms:W3CDTF">2026-10-11T12:36:57Z</dcterms:modified>
</cp:coreProperties>
</file>