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ABC observation log</w:t>
      </w:r>
    </w:p>
    <w:tbl>
      <w:tblPr>
        <w:tblStyle w:val="TableGrid"/>
        <w:tblW w:w="136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641"/>
        <w:gridCol w:w="2919"/>
        <w:gridCol w:w="1641"/>
        <w:gridCol w:w="2919"/>
        <w:gridCol w:w="1641"/>
        <w:gridCol w:w="2919"/>
      </w:tblGrid>
      <w:tr>
        <w:trPr>
          <w:trHeight w:val="460"/>
          <w:cantSplit/>
        </w:trPr>
        <w:tc>
          <w:tcPr>
            <w:tcW w:w="1641" w:type="dxa"/>
            <w:shd w:val="clear" w:color="auto" w:fill="E3ECEE"/>
            <w:vAlign w:val="center"/>
          </w:tcPr>
          <w:p>
            <w:pPr>
              <w:spacing w:before="20" w:after="20"/>
            </w:pPr>
            <w:r>
              <w:rPr>
                <w:b/>
                <w:sz w:val="20"/>
                <w:szCs w:val="20"/>
              </w:rPr>
              <w:t xml:space="preserve">Student</w:t>
            </w:r>
          </w:p>
        </w:tc>
        <w:tc>
          <w:tcPr>
            <w:tcW w:w="2919" w:type="dxa"/>
            <w:vAlign w:val="center"/>
          </w:tcPr>
          <w:p>
            <w:pPr>
              <w:spacing w:before="20" w:after="20"/>
            </w:pPr>
          </w:p>
        </w:tc>
        <w:tc>
          <w:tcPr>
            <w:tcW w:w="1641" w:type="dxa"/>
            <w:shd w:val="clear" w:color="auto" w:fill="E3ECEE"/>
            <w:vAlign w:val="center"/>
          </w:tcPr>
          <w:p>
            <w:pPr>
              <w:spacing w:before="20" w:after="20"/>
            </w:pPr>
            <w:r>
              <w:rPr>
                <w:b/>
                <w:sz w:val="20"/>
                <w:szCs w:val="20"/>
              </w:rPr>
              <w:t xml:space="preserve">Observer</w:t>
            </w:r>
          </w:p>
        </w:tc>
        <w:tc>
          <w:tcPr>
            <w:tcW w:w="2919" w:type="dxa"/>
            <w:vAlign w:val="center"/>
          </w:tcPr>
          <w:p>
            <w:pPr>
              <w:spacing w:before="20" w:after="20"/>
            </w:pPr>
          </w:p>
        </w:tc>
        <w:tc>
          <w:tcPr>
            <w:tcW w:w="1641" w:type="dxa"/>
            <w:shd w:val="clear" w:color="auto" w:fill="E3ECEE"/>
            <w:vAlign w:val="center"/>
          </w:tcPr>
          <w:p>
            <w:pPr>
              <w:spacing w:before="20" w:after="20"/>
            </w:pPr>
            <w:r>
              <w:rPr>
                <w:b/>
                <w:sz w:val="20"/>
                <w:szCs w:val="20"/>
              </w:rPr>
              <w:t xml:space="preserve">Class / setting</w:t>
            </w:r>
          </w:p>
        </w:tc>
        <w:tc>
          <w:tcPr>
            <w:tcW w:w="2919" w:type="dxa"/>
            <w:vAlign w:val="center"/>
          </w:tcPr>
          <w:p>
            <w:pPr>
              <w:spacing w:before="20" w:after="20"/>
            </w:pPr>
          </w:p>
        </w:tc>
      </w:tr>
      <w:tr>
        <w:trPr>
          <w:trHeight w:val="460"/>
          <w:cantSplit/>
        </w:trPr>
        <w:tc>
          <w:tcPr>
            <w:tcW w:w="1641" w:type="dxa"/>
            <w:shd w:val="clear" w:color="auto" w:fill="E3ECEE"/>
            <w:vAlign w:val="center"/>
          </w:tcPr>
          <w:p>
            <w:pPr>
              <w:spacing w:before="20" w:after="20"/>
            </w:pPr>
            <w:r>
              <w:rPr>
                <w:b/>
                <w:sz w:val="20"/>
                <w:szCs w:val="20"/>
              </w:rPr>
              <w:t xml:space="preserve">Target behavior</w:t>
            </w:r>
          </w:p>
        </w:tc>
        <w:tc>
          <w:tcPr>
            <w:tcW w:w="2919" w:type="dxa"/>
            <w:vAlign w:val="center"/>
          </w:tcPr>
          <w:p>
            <w:pPr>
              <w:spacing w:before="20" w:after="20"/>
            </w:pPr>
          </w:p>
        </w:tc>
        <w:tc>
          <w:tcPr>
            <w:tcW w:w="1641" w:type="dxa"/>
            <w:shd w:val="clear" w:color="auto" w:fill="E3ECEE"/>
            <w:vAlign w:val="center"/>
          </w:tcPr>
          <w:p>
            <w:pPr>
              <w:spacing w:before="20" w:after="20"/>
            </w:pPr>
            <w:r>
              <w:rPr>
                <w:b/>
                <w:sz w:val="20"/>
                <w:szCs w:val="20"/>
              </w:rPr>
              <w:t xml:space="preserve">Week of</w:t>
            </w:r>
          </w:p>
        </w:tc>
        <w:tc>
          <w:tcPr>
            <w:tcW w:w="2919" w:type="dxa"/>
            <w:vAlign w:val="center"/>
          </w:tcPr>
          <w:p>
            <w:pPr>
              <w:spacing w:before="20" w:after="20"/>
            </w:pPr>
          </w:p>
        </w:tc>
        <w:tc>
          <w:tcPr>
            <w:tcW w:w="1641" w:type="dxa"/>
            <w:shd w:val="clear" w:color="auto" w:fill="E3ECEE"/>
            <w:vAlign w:val="center"/>
          </w:tcPr>
          <w:p>
            <w:pPr>
              <w:spacing w:before="20" w:after="20"/>
            </w:pPr>
            <w:r>
              <w:rPr>
                <w:b/>
                <w:sz w:val="20"/>
                <w:szCs w:val="20"/>
              </w:rPr>
              <w:t xml:space="preserve">Grade</w:t>
            </w:r>
          </w:p>
        </w:tc>
        <w:tc>
          <w:tcPr>
            <w:tcW w:w="2919" w:type="dxa"/>
            <w:vAlign w:val="center"/>
          </w:tcPr>
          <w:p>
            <w:pPr>
              <w:spacing w:before="20" w:after="20"/>
            </w:pPr>
          </w:p>
        </w:tc>
      </w:tr>
    </w:tbl>
    <w:p>
      <w:pPr>
        <w:spacing w:after="0"/>
      </w:pPr>
    </w:p>
    <w:p>
      <w:pPr>
        <w:pBdr>
          <w:left w:val="single" w:sz="18" w:space="8" w:color="B0503C"/>
        </w:pBdr>
        <w:shd w:val="clear" w:color="auto" w:fill="F6EDE7"/>
        <w:ind w:left="180" w:right="180"/>
      </w:pPr>
      <w:r>
        <w:rPr>
          <w:b/>
        </w:rPr>
        <w:t xml:space="preserve">How to use:</w:t>
      </w:r>
      <w:r>
        <w:t xml:space="preserve"> Fill in a row each time the behavior happens. Describe what you saw and heard, not what you think the student felt. After 5–10 entries, look for patterns in the Antecedent and Consequence columns.</w:t>
      </w:r>
    </w:p>
    <w:tbl>
      <w:tblPr>
        <w:tblStyle w:val="TableGrid"/>
        <w:tblW w:w="13677"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475"/>
        <w:gridCol w:w="1743"/>
        <w:gridCol w:w="2950"/>
        <w:gridCol w:w="2950"/>
        <w:gridCol w:w="2950"/>
        <w:gridCol w:w="1609"/>
      </w:tblGrid>
      <w:tr>
        <w:trPr>
          <w:tblHeader/>
          <w:cantSplit/>
        </w:trPr>
        <w:tc>
          <w:tcPr>
            <w:tcW w:w="1475" w:type="dxa"/>
            <w:shd w:val="clear" w:color="auto" w:fill="E3ECEE"/>
            <w:vAlign w:val="center"/>
          </w:tcPr>
          <w:p>
            <w:pPr>
              <w:spacing w:before="20" w:after="20"/>
            </w:pPr>
            <w:r>
              <w:rPr>
                <w:b/>
                <w:sz w:val="20"/>
                <w:szCs w:val="20"/>
              </w:rPr>
              <w:t xml:space="preserve">Date &amp; time</w:t>
            </w:r>
          </w:p>
        </w:tc>
        <w:tc>
          <w:tcPr>
            <w:tcW w:w="1743" w:type="dxa"/>
            <w:shd w:val="clear" w:color="auto" w:fill="E3ECEE"/>
            <w:vAlign w:val="center"/>
          </w:tcPr>
          <w:p>
            <w:pPr>
              <w:spacing w:before="20" w:after="20"/>
            </w:pPr>
            <w:r>
              <w:rPr>
                <w:b/>
                <w:sz w:val="20"/>
                <w:szCs w:val="20"/>
              </w:rPr>
              <w:t xml:space="preserve">Activity / setting</w:t>
            </w:r>
          </w:p>
        </w:tc>
        <w:tc>
          <w:tcPr>
            <w:tcW w:w="2950" w:type="dxa"/>
            <w:shd w:val="clear" w:color="auto" w:fill="E3ECEE"/>
            <w:vAlign w:val="center"/>
          </w:tcPr>
          <w:p>
            <w:pPr>
              <w:spacing w:before="20" w:after="20"/>
            </w:pPr>
            <w:r>
              <w:rPr>
                <w:b/>
                <w:sz w:val="20"/>
                <w:szCs w:val="20"/>
              </w:rPr>
              <w:t xml:space="preserve">Antecedent</w:t>
            </w:r>
          </w:p>
          <w:p>
            <w:pPr>
              <w:spacing w:before="20" w:after="20"/>
            </w:pPr>
            <w:r>
              <w:rPr>
                <w:b/>
                <w:sz w:val="20"/>
                <w:szCs w:val="20"/>
              </w:rPr>
              <w:t xml:space="preserve">(what happened right before)</w:t>
            </w:r>
          </w:p>
        </w:tc>
        <w:tc>
          <w:tcPr>
            <w:tcW w:w="2950" w:type="dxa"/>
            <w:shd w:val="clear" w:color="auto" w:fill="E3ECEE"/>
            <w:vAlign w:val="center"/>
          </w:tcPr>
          <w:p>
            <w:pPr>
              <w:spacing w:before="20" w:after="20"/>
            </w:pPr>
            <w:r>
              <w:rPr>
                <w:b/>
                <w:sz w:val="20"/>
                <w:szCs w:val="20"/>
              </w:rPr>
              <w:t xml:space="preserve">Behavior</w:t>
            </w:r>
          </w:p>
          <w:p>
            <w:pPr>
              <w:spacing w:before="20" w:after="20"/>
            </w:pPr>
            <w:r>
              <w:rPr>
                <w:b/>
                <w:sz w:val="20"/>
                <w:szCs w:val="20"/>
              </w:rPr>
              <w:t xml:space="preserve">(exactly what the student did)</w:t>
            </w:r>
          </w:p>
        </w:tc>
        <w:tc>
          <w:tcPr>
            <w:tcW w:w="2950" w:type="dxa"/>
            <w:shd w:val="clear" w:color="auto" w:fill="E3ECEE"/>
            <w:vAlign w:val="center"/>
          </w:tcPr>
          <w:p>
            <w:pPr>
              <w:spacing w:before="20" w:after="20"/>
            </w:pPr>
            <w:r>
              <w:rPr>
                <w:b/>
                <w:sz w:val="20"/>
                <w:szCs w:val="20"/>
              </w:rPr>
              <w:t xml:space="preserve">Consequence</w:t>
            </w:r>
          </w:p>
          <w:p>
            <w:pPr>
              <w:spacing w:before="20" w:after="20"/>
            </w:pPr>
            <w:r>
              <w:rPr>
                <w:b/>
                <w:sz w:val="20"/>
                <w:szCs w:val="20"/>
              </w:rPr>
              <w:t xml:space="preserve">(what happened right after)</w:t>
            </w:r>
          </w:p>
        </w:tc>
        <w:tc>
          <w:tcPr>
            <w:tcW w:w="1609" w:type="dxa"/>
            <w:shd w:val="clear" w:color="auto" w:fill="E3ECEE"/>
            <w:vAlign w:val="center"/>
          </w:tcPr>
          <w:p>
            <w:pPr>
              <w:spacing w:before="20" w:after="20"/>
            </w:pPr>
            <w:r>
              <w:rPr>
                <w:b/>
                <w:sz w:val="20"/>
                <w:szCs w:val="20"/>
              </w:rPr>
              <w:t xml:space="preserve">Likely function</w:t>
            </w: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r>
        <w:trPr>
          <w:trHeight w:val="1000"/>
          <w:cantSplit/>
        </w:trPr>
        <w:tc>
          <w:tcPr>
            <w:tcW w:w="1475" w:type="dxa"/>
            <w:vAlign w:val="center"/>
          </w:tcPr>
          <w:p>
            <w:pPr>
              <w:spacing w:before="20" w:after="20"/>
            </w:pPr>
          </w:p>
        </w:tc>
        <w:tc>
          <w:tcPr>
            <w:tcW w:w="1743"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2950" w:type="dxa"/>
            <w:vAlign w:val="center"/>
          </w:tcPr>
          <w:p>
            <w:pPr>
              <w:spacing w:before="20" w:after="20"/>
            </w:pPr>
          </w:p>
        </w:tc>
        <w:tc>
          <w:tcPr>
            <w:tcW w:w="1609" w:type="dxa"/>
            <w:vAlign w:val="center"/>
          </w:tcPr>
          <w:p>
            <w:pPr>
              <w:spacing w:before="20" w:after="20"/>
            </w:pPr>
          </w:p>
        </w:tc>
      </w:tr>
    </w:tbl>
    <w:p>
      <w:pPr>
        <w:spacing w:after="0"/>
      </w:pPr>
    </w:p>
    <w:p>
      <w:pPr>
        <w:pStyle w:val="Heading2"/>
      </w:pPr>
      <w:r>
        <w:t xml:space="preserve">Likely function key</w:t>
      </w:r>
    </w:p>
    <w:p>
      <w:r>
        <w:rPr>
          <w:b/>
        </w:rPr>
        <w:t xml:space="preserve">Get:</w:t>
      </w:r>
      <w:r>
        <w:t xml:space="preserve"> attention (adult or peer), item or activity, sensory input.   </w:t>
      </w:r>
      <w:r>
        <w:rPr>
          <w:b/>
        </w:rPr>
        <w:t xml:space="preserve">Avoid:</w:t>
      </w:r>
      <w:r>
        <w:t xml:space="preserve"> task or demand, person, setting, sensory discomfort.</w:t>
      </w:r>
    </w:p>
    <w:sectPr>
      <w:headerReference w:type="default" r:id="rIdHeader"/>
      <w:footerReference w:type="default" r:id="rIdFooter"/>
      <w:pgSz w:w="15840" w:h="12240" w:orient="landscape"/>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36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ABC observation log</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